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41" w:rsidRDefault="00251741" w:rsidP="00251741">
      <w:pPr>
        <w:rPr>
          <w:i/>
          <w:sz w:val="20"/>
          <w:szCs w:val="20"/>
        </w:rPr>
      </w:pPr>
    </w:p>
    <w:p w:rsidR="00B65007" w:rsidRDefault="00B65007" w:rsidP="00B6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07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ТакВидятСлепоглухие</w:t>
      </w:r>
      <w:proofErr w:type="spellEnd"/>
      <w:r w:rsidRPr="00B650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5007" w:rsidRDefault="00B65007" w:rsidP="00B6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07">
        <w:rPr>
          <w:rFonts w:ascii="Times New Roman" w:hAnsi="Times New Roman" w:cs="Times New Roman"/>
          <w:b/>
          <w:bCs/>
          <w:sz w:val="24"/>
          <w:szCs w:val="24"/>
        </w:rPr>
        <w:t xml:space="preserve">студия комментирования и аналитики </w:t>
      </w: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b/>
          <w:bCs/>
          <w:sz w:val="24"/>
          <w:szCs w:val="24"/>
        </w:rPr>
        <w:t xml:space="preserve"> поддержит первую в мире </w:t>
      </w:r>
    </w:p>
    <w:p w:rsidR="00B65007" w:rsidRPr="00B65007" w:rsidRDefault="00B65007" w:rsidP="00B6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07">
        <w:rPr>
          <w:rFonts w:ascii="Times New Roman" w:hAnsi="Times New Roman" w:cs="Times New Roman"/>
          <w:b/>
          <w:bCs/>
          <w:sz w:val="24"/>
          <w:szCs w:val="24"/>
        </w:rPr>
        <w:t>онлайн-игру о жизни на ощупь</w:t>
      </w:r>
    </w:p>
    <w:p w:rsidR="00B65007" w:rsidRPr="00B65007" w:rsidRDefault="00B65007" w:rsidP="00B65007">
      <w:pPr>
        <w:rPr>
          <w:rFonts w:ascii="Times New Roman" w:hAnsi="Times New Roman" w:cs="Times New Roman"/>
          <w:i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007">
        <w:rPr>
          <w:rFonts w:ascii="Times New Roman" w:hAnsi="Times New Roman" w:cs="Times New Roman"/>
          <w:iCs/>
          <w:sz w:val="24"/>
          <w:szCs w:val="24"/>
        </w:rPr>
        <w:t xml:space="preserve">Пользователи, прошедшие онлайн-игру, могут не только познакомиться с мировосприятием слепоглухих людей, но и, поделившись результатами в </w:t>
      </w:r>
      <w:proofErr w:type="spellStart"/>
      <w:r w:rsidRPr="00B65007">
        <w:rPr>
          <w:rFonts w:ascii="Times New Roman" w:hAnsi="Times New Roman" w:cs="Times New Roman"/>
          <w:iCs/>
          <w:sz w:val="24"/>
          <w:szCs w:val="24"/>
        </w:rPr>
        <w:t>соцсетях</w:t>
      </w:r>
      <w:proofErr w:type="spellEnd"/>
      <w:r w:rsidRPr="00B65007">
        <w:rPr>
          <w:rFonts w:ascii="Times New Roman" w:hAnsi="Times New Roman" w:cs="Times New Roman"/>
          <w:iCs/>
          <w:sz w:val="24"/>
          <w:szCs w:val="24"/>
        </w:rPr>
        <w:t xml:space="preserve">, принять участие в розыгрыше призов от студии </w:t>
      </w:r>
      <w:proofErr w:type="spellStart"/>
      <w:r w:rsidRPr="00B65007">
        <w:rPr>
          <w:rFonts w:ascii="Times New Roman" w:hAnsi="Times New Roman" w:cs="Times New Roman"/>
          <w:iCs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iCs/>
          <w:sz w:val="24"/>
          <w:szCs w:val="24"/>
        </w:rPr>
        <w:t> 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Киберспортивная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студия комментирования и аналитики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(входит в холдинг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ESforce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85526B">
          <w:rPr>
            <w:rStyle w:val="a9"/>
            <w:rFonts w:ascii="Times New Roman" w:hAnsi="Times New Roman" w:cs="Times New Roman"/>
            <w:sz w:val="24"/>
            <w:szCs w:val="24"/>
          </w:rPr>
          <w:t>запускает</w:t>
        </w:r>
      </w:hyperlink>
      <w:r w:rsidRPr="00B65007">
        <w:rPr>
          <w:rFonts w:ascii="Times New Roman" w:hAnsi="Times New Roman" w:cs="Times New Roman"/>
          <w:sz w:val="24"/>
          <w:szCs w:val="24"/>
        </w:rPr>
        <w:t xml:space="preserve"> конкурс в социальной сети ВКонтакте в поддержку первой в мире онлайн-игры о жизни на ощупь — это образовательный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-проект фонда «Со-единение», направленный на привлечение внимания широкой аудитории к миру слепоглухих людей. 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 xml:space="preserve">По условиям конкурса пользователи могут сыграть в игру и поделиться своим результатом на своей странице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ТакВидятСлепоглухие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. при помощи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рандомайзера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среди поделившихся будет определено восемь победителей, которые получат игровые </w:t>
      </w:r>
      <w:proofErr w:type="gramStart"/>
      <w:r w:rsidRPr="00B65007">
        <w:rPr>
          <w:rFonts w:ascii="Times New Roman" w:hAnsi="Times New Roman" w:cs="Times New Roman"/>
          <w:sz w:val="24"/>
          <w:szCs w:val="24"/>
        </w:rPr>
        <w:t xml:space="preserve">девайсы 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HyperX</w:t>
      </w:r>
      <w:proofErr w:type="spellEnd"/>
      <w:proofErr w:type="gramEnd"/>
      <w:r w:rsidRPr="00B65007">
        <w:rPr>
          <w:rFonts w:ascii="Times New Roman" w:hAnsi="Times New Roman" w:cs="Times New Roman"/>
          <w:sz w:val="24"/>
          <w:szCs w:val="24"/>
        </w:rPr>
        <w:t xml:space="preserve"> и футболки с автографами талантов студии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. Конкурс также поддержат комментаторы и аналитики студии: Ярослав «NS» Кузнецов, Владимир «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Maelstorm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» Кузьминов и Евгений «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sleepsomewhile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Слипчик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. Сыграть в игру и принять участие в конкурсе можно </w:t>
      </w:r>
      <w:hyperlink r:id="rId7" w:history="1"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>по ссылке</w:t>
        </w:r>
      </w:hyperlink>
      <w:r w:rsidRPr="00B65007">
        <w:rPr>
          <w:rFonts w:ascii="Times New Roman" w:hAnsi="Times New Roman" w:cs="Times New Roman"/>
          <w:sz w:val="24"/>
          <w:szCs w:val="24"/>
        </w:rPr>
        <w:t>.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 xml:space="preserve">Интерактивная игра для фонда поддержки «Со-единение» была запущена в феврале 2019 года, разработкой и реализацией проекта занимались агентство социально ориентированного маркетинга </w:t>
      </w:r>
      <w:hyperlink r:id="rId8" w:history="1">
        <w:proofErr w:type="spellStart"/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>RedMe</w:t>
        </w:r>
        <w:proofErr w:type="spellEnd"/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65007">
        <w:rPr>
          <w:rFonts w:ascii="Times New Roman" w:hAnsi="Times New Roman" w:cs="Times New Roman"/>
          <w:sz w:val="24"/>
          <w:szCs w:val="24"/>
        </w:rPr>
        <w:t xml:space="preserve">и агентство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миллениальных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коммуникаций </w:t>
      </w:r>
      <w:hyperlink r:id="rId9" w:history="1"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>ROOM485</w:t>
        </w:r>
      </w:hyperlink>
      <w:r w:rsidRPr="00B65007">
        <w:rPr>
          <w:rFonts w:ascii="Times New Roman" w:hAnsi="Times New Roman" w:cs="Times New Roman"/>
          <w:sz w:val="24"/>
          <w:szCs w:val="24"/>
        </w:rPr>
        <w:t xml:space="preserve"> (оба агентства входят в группу компаний </w:t>
      </w:r>
      <w:hyperlink r:id="rId10" w:history="1"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>RCG</w:t>
        </w:r>
      </w:hyperlink>
      <w:r w:rsidRPr="00B65007">
        <w:rPr>
          <w:rFonts w:ascii="Times New Roman" w:hAnsi="Times New Roman" w:cs="Times New Roman"/>
          <w:sz w:val="24"/>
          <w:szCs w:val="24"/>
        </w:rPr>
        <w:t xml:space="preserve">). В основе интерактивной игры заложена следующая механика: пользователю предлагается угадать предметы через фильтры, которые созданы на основе врачебного описания различных зрительных недугов и заболеваний, при этом «ощущать» их текстуру с помощью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аудиоэффектов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.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Игра состоит из пяти уровней с возрастающей сложностью. Для перехода на следующий уровень необходимо ответить на вопрос «Что перед вами?», выбрав один из четырех вариантов. Чем быстрее будут угаданы предметы и меньше допущено ошибок, тем больше баллов можно набрать. В конце пользователи смогут узнать, как бы они ощущали себя в мире слепоглухих, поделиться ссылкой на игру в социальных сетях, а также совершить пожертвование в фонд «</w:t>
      </w:r>
      <w:proofErr w:type="gramStart"/>
      <w:r w:rsidRPr="00B65007">
        <w:rPr>
          <w:rFonts w:ascii="Times New Roman" w:hAnsi="Times New Roman" w:cs="Times New Roman"/>
          <w:sz w:val="24"/>
          <w:szCs w:val="24"/>
        </w:rPr>
        <w:t>Со-единение</w:t>
      </w:r>
      <w:proofErr w:type="gramEnd"/>
      <w:r w:rsidRPr="00B65007">
        <w:rPr>
          <w:rFonts w:ascii="Times New Roman" w:hAnsi="Times New Roman" w:cs="Times New Roman"/>
          <w:sz w:val="24"/>
          <w:szCs w:val="24"/>
        </w:rPr>
        <w:t>».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BAD">
        <w:rPr>
          <w:rFonts w:ascii="Times New Roman" w:hAnsi="Times New Roman" w:cs="Times New Roman"/>
          <w:i/>
          <w:iCs/>
          <w:sz w:val="24"/>
          <w:szCs w:val="24"/>
        </w:rPr>
        <w:t xml:space="preserve">«Нестандартные для благотворительных фондов </w:t>
      </w:r>
      <w:proofErr w:type="spellStart"/>
      <w:r w:rsidRPr="00250BAD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250BAD">
        <w:rPr>
          <w:rFonts w:ascii="Times New Roman" w:hAnsi="Times New Roman" w:cs="Times New Roman"/>
          <w:i/>
          <w:iCs/>
          <w:sz w:val="24"/>
          <w:szCs w:val="24"/>
        </w:rPr>
        <w:t xml:space="preserve">-инструменты — это способ найти отклик у аудитории, которая ранее не задумывалась о проблеме слепоглухих людей. Наша интерактивная образовательная игра о жизни на ощупь как раз один из таких примеров. Безусловно, мы рады поддержке студии комментирования и аналитики </w:t>
      </w:r>
      <w:proofErr w:type="spellStart"/>
      <w:r w:rsidRPr="00250BAD">
        <w:rPr>
          <w:rFonts w:ascii="Times New Roman" w:hAnsi="Times New Roman" w:cs="Times New Roman"/>
          <w:i/>
          <w:iCs/>
          <w:sz w:val="24"/>
          <w:szCs w:val="24"/>
        </w:rPr>
        <w:t>RuHub</w:t>
      </w:r>
      <w:proofErr w:type="spellEnd"/>
      <w:r w:rsidRPr="00250B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0B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(входит в состав холдинга </w:t>
      </w:r>
      <w:proofErr w:type="spellStart"/>
      <w:r w:rsidRPr="00250BAD">
        <w:rPr>
          <w:rFonts w:ascii="Times New Roman" w:hAnsi="Times New Roman" w:cs="Times New Roman"/>
          <w:i/>
          <w:iCs/>
          <w:sz w:val="24"/>
          <w:szCs w:val="24"/>
        </w:rPr>
        <w:t>Esforce</w:t>
      </w:r>
      <w:proofErr w:type="spellEnd"/>
      <w:r w:rsidRPr="00250BAD">
        <w:rPr>
          <w:rFonts w:ascii="Times New Roman" w:hAnsi="Times New Roman" w:cs="Times New Roman"/>
          <w:i/>
          <w:iCs/>
          <w:sz w:val="24"/>
          <w:szCs w:val="24"/>
        </w:rPr>
        <w:t>), потому что это означает своеобразное признание как самой социальной проблемы, так и необходимости вовлечения широкой аудитории в решении этой проблемы»</w:t>
      </w:r>
      <w:r w:rsidRPr="00B65007">
        <w:rPr>
          <w:rFonts w:ascii="Times New Roman" w:hAnsi="Times New Roman" w:cs="Times New Roman"/>
          <w:sz w:val="24"/>
          <w:szCs w:val="24"/>
        </w:rPr>
        <w:t xml:space="preserve">, – прокомментировала </w:t>
      </w:r>
      <w:r w:rsidRPr="00B65007">
        <w:rPr>
          <w:rFonts w:ascii="Times New Roman" w:hAnsi="Times New Roman" w:cs="Times New Roman"/>
          <w:b/>
          <w:bCs/>
          <w:sz w:val="24"/>
          <w:szCs w:val="24"/>
        </w:rPr>
        <w:t>Наталья Соколова, директор по PR фонда «</w:t>
      </w:r>
      <w:proofErr w:type="gram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Со-единение</w:t>
      </w:r>
      <w:proofErr w:type="gramEnd"/>
      <w:r w:rsidRPr="00B6500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65007">
        <w:rPr>
          <w:rFonts w:ascii="Times New Roman" w:hAnsi="Times New Roman" w:cs="Times New Roman"/>
          <w:sz w:val="24"/>
          <w:szCs w:val="24"/>
        </w:rPr>
        <w:t>.</w:t>
      </w:r>
    </w:p>
    <w:p w:rsidR="0016716A" w:rsidRPr="00B65007" w:rsidRDefault="0016716A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007" w:rsidRPr="00B65007" w:rsidRDefault="00B65007" w:rsidP="001671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BAD">
        <w:rPr>
          <w:rFonts w:ascii="Times New Roman" w:hAnsi="Times New Roman" w:cs="Times New Roman"/>
          <w:i/>
          <w:iCs/>
          <w:sz w:val="24"/>
          <w:szCs w:val="24"/>
        </w:rPr>
        <w:t xml:space="preserve">«Мы рады стать партнерами этого проекта и надеемся, что он найдёт отклик у нашей аудитории. Многие называют наших зрителей и подписчиков “токсичными” — так вот, я уверен, что несмотря ни на что они обычные добрые ребята, которые вряд ли останутся равнодушными к проблеме </w:t>
      </w:r>
      <w:proofErr w:type="spellStart"/>
      <w:r w:rsidRPr="00250BAD">
        <w:rPr>
          <w:rFonts w:ascii="Times New Roman" w:hAnsi="Times New Roman" w:cs="Times New Roman"/>
          <w:i/>
          <w:iCs/>
          <w:sz w:val="24"/>
          <w:szCs w:val="24"/>
        </w:rPr>
        <w:t>слепоглухоты</w:t>
      </w:r>
      <w:proofErr w:type="spellEnd"/>
      <w:r w:rsidRPr="00250BA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65007">
        <w:rPr>
          <w:rFonts w:ascii="Times New Roman" w:hAnsi="Times New Roman" w:cs="Times New Roman"/>
          <w:sz w:val="24"/>
          <w:szCs w:val="24"/>
        </w:rPr>
        <w:t xml:space="preserve">, – рассказал </w:t>
      </w:r>
      <w:r w:rsidRPr="00B65007">
        <w:rPr>
          <w:rFonts w:ascii="Times New Roman" w:hAnsi="Times New Roman" w:cs="Times New Roman"/>
          <w:b/>
          <w:bCs/>
          <w:sz w:val="24"/>
          <w:szCs w:val="24"/>
        </w:rPr>
        <w:t xml:space="preserve">Антон Олейник, генеральный продюсер студии </w:t>
      </w: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.</w:t>
      </w:r>
    </w:p>
    <w:p w:rsidR="00B65007" w:rsidRPr="00B65007" w:rsidRDefault="00B65007" w:rsidP="00251741">
      <w:pPr>
        <w:rPr>
          <w:rFonts w:ascii="Times New Roman" w:hAnsi="Times New Roman" w:cs="Times New Roman"/>
          <w:sz w:val="24"/>
          <w:szCs w:val="24"/>
        </w:rPr>
      </w:pPr>
    </w:p>
    <w:p w:rsidR="00A43B05" w:rsidRPr="00B65007" w:rsidRDefault="00A43B05" w:rsidP="00A43B05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65007">
        <w:rPr>
          <w:rFonts w:ascii="Times New Roman" w:hAnsi="Times New Roman" w:cs="Times New Roman"/>
          <w:b/>
          <w:sz w:val="24"/>
          <w:szCs w:val="24"/>
        </w:rPr>
        <w:t>Фонд поддержки слепоглухих «</w:t>
      </w:r>
      <w:proofErr w:type="gramStart"/>
      <w:r w:rsidRPr="00B65007">
        <w:rPr>
          <w:rFonts w:ascii="Times New Roman" w:hAnsi="Times New Roman" w:cs="Times New Roman"/>
          <w:b/>
          <w:sz w:val="24"/>
          <w:szCs w:val="24"/>
        </w:rPr>
        <w:t>Со-единение</w:t>
      </w:r>
      <w:proofErr w:type="gramEnd"/>
      <w:r w:rsidRPr="00B65007">
        <w:rPr>
          <w:rFonts w:ascii="Times New Roman" w:hAnsi="Times New Roman" w:cs="Times New Roman"/>
          <w:b/>
          <w:sz w:val="24"/>
          <w:szCs w:val="24"/>
        </w:rPr>
        <w:t>»:</w:t>
      </w:r>
    </w:p>
    <w:p w:rsidR="00A43B05" w:rsidRPr="00B65007" w:rsidRDefault="00933BFE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 xml:space="preserve">Наша цель - </w:t>
      </w:r>
      <w:r w:rsidR="00A43B05" w:rsidRPr="00B65007">
        <w:rPr>
          <w:rFonts w:ascii="Times New Roman" w:hAnsi="Times New Roman" w:cs="Times New Roman"/>
          <w:sz w:val="24"/>
          <w:szCs w:val="24"/>
        </w:rPr>
        <w:t>системные изменения в области поддержки и социальной интеграции слепоглухих детей и взрослых.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Основные достижения Фонда: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B65007">
        <w:rPr>
          <w:rFonts w:ascii="Times New Roman" w:hAnsi="Times New Roman" w:cs="Times New Roman"/>
          <w:sz w:val="24"/>
          <w:szCs w:val="24"/>
        </w:rPr>
        <w:t>Выявлено &gt;</w:t>
      </w:r>
      <w:proofErr w:type="gramEnd"/>
      <w:r w:rsidRPr="00B65007">
        <w:rPr>
          <w:rFonts w:ascii="Times New Roman" w:hAnsi="Times New Roman" w:cs="Times New Roman"/>
          <w:sz w:val="24"/>
          <w:szCs w:val="24"/>
        </w:rPr>
        <w:t xml:space="preserve"> 4 тыс. россиян(из 15 тыс.) с одновременным нарушением слуха и зрения. Сайт переписи </w:t>
      </w:r>
      <w:hyperlink r:id="rId11" w:history="1">
        <w:proofErr w:type="spellStart"/>
        <w:r w:rsidRPr="00B65007">
          <w:rPr>
            <w:rStyle w:val="a9"/>
            <w:rFonts w:ascii="Times New Roman" w:hAnsi="Times New Roman" w:cs="Times New Roman"/>
            <w:sz w:val="24"/>
            <w:szCs w:val="24"/>
          </w:rPr>
          <w:t>Cлепоглухие.рф</w:t>
        </w:r>
        <w:proofErr w:type="spellEnd"/>
      </w:hyperlink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•Качественный технологический прорыв для России: первая имплантация бионического глаза тотально</w:t>
      </w:r>
      <w:r w:rsidR="00933BFE" w:rsidRPr="00B65007">
        <w:rPr>
          <w:rFonts w:ascii="Times New Roman" w:hAnsi="Times New Roman" w:cs="Times New Roman"/>
          <w:sz w:val="24"/>
          <w:szCs w:val="24"/>
        </w:rPr>
        <w:t xml:space="preserve"> слепому человеку в 2016 г, что</w:t>
      </w:r>
      <w:r w:rsidRPr="00B65007">
        <w:rPr>
          <w:rFonts w:ascii="Times New Roman" w:hAnsi="Times New Roman" w:cs="Times New Roman"/>
          <w:sz w:val="24"/>
          <w:szCs w:val="24"/>
        </w:rPr>
        <w:t xml:space="preserve"> позволило частично вернуть зрение.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Брайлевские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дисплеи включены в перечень ТСР, предоставляемых государством.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•Увеличено число часов сопровождения с 40 до 240.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•Работают службы сопровождения в 5 р</w:t>
      </w:r>
      <w:r w:rsidR="00A2649B" w:rsidRPr="00B65007">
        <w:rPr>
          <w:rFonts w:ascii="Times New Roman" w:hAnsi="Times New Roman" w:cs="Times New Roman"/>
          <w:sz w:val="24"/>
          <w:szCs w:val="24"/>
        </w:rPr>
        <w:t>егионах, досуговые центры - в 39</w:t>
      </w:r>
      <w:r w:rsidRPr="00B65007">
        <w:rPr>
          <w:rFonts w:ascii="Times New Roman" w:hAnsi="Times New Roman" w:cs="Times New Roman"/>
          <w:sz w:val="24"/>
          <w:szCs w:val="24"/>
        </w:rPr>
        <w:t xml:space="preserve"> регионах., театральные школы – в 5.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 xml:space="preserve">•Выход на международный уровень: сотрудничество с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, Институт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Перкинса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, DBI.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•Разработка методики сопровождаемого проживания слепоглухих взрослых.</w:t>
      </w:r>
    </w:p>
    <w:p w:rsidR="00A43B05" w:rsidRPr="00B65007" w:rsidRDefault="00A43B05" w:rsidP="00A4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07">
        <w:rPr>
          <w:rFonts w:ascii="Times New Roman" w:hAnsi="Times New Roman" w:cs="Times New Roman"/>
          <w:sz w:val="24"/>
          <w:szCs w:val="24"/>
        </w:rPr>
        <w:t>•Учреждена Ассоциация "</w:t>
      </w:r>
      <w:proofErr w:type="gramStart"/>
      <w:r w:rsidRPr="00B65007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гласие</w:t>
      </w:r>
      <w:proofErr w:type="spellEnd"/>
      <w:proofErr w:type="gramEnd"/>
      <w:r w:rsidRPr="00B65007">
        <w:rPr>
          <w:rFonts w:ascii="Times New Roman" w:hAnsi="Times New Roman" w:cs="Times New Roman"/>
          <w:sz w:val="24"/>
          <w:szCs w:val="24"/>
        </w:rPr>
        <w:t>". Это беспрецедентное событие в России - организация для инвал</w:t>
      </w:r>
      <w:r w:rsidR="00CA7BA6">
        <w:rPr>
          <w:rFonts w:ascii="Times New Roman" w:hAnsi="Times New Roman" w:cs="Times New Roman"/>
          <w:sz w:val="24"/>
          <w:szCs w:val="24"/>
        </w:rPr>
        <w:t>идов по слуху и зрению, которая</w:t>
      </w:r>
      <w:r w:rsidRPr="00B65007">
        <w:rPr>
          <w:rFonts w:ascii="Times New Roman" w:hAnsi="Times New Roman" w:cs="Times New Roman"/>
          <w:sz w:val="24"/>
          <w:szCs w:val="24"/>
        </w:rPr>
        <w:t xml:space="preserve"> объединяет не только самих слепоглухих, но и их родственников.</w:t>
      </w:r>
    </w:p>
    <w:p w:rsidR="00CA7BA6" w:rsidRDefault="00CA7BA6" w:rsidP="00250BAD">
      <w:pPr>
        <w:rPr>
          <w:rFonts w:ascii="Times New Roman" w:hAnsi="Times New Roman" w:cs="Times New Roman"/>
          <w:sz w:val="24"/>
          <w:szCs w:val="24"/>
        </w:rPr>
      </w:pPr>
    </w:p>
    <w:p w:rsidR="00CA7BA6" w:rsidRDefault="00250BAD" w:rsidP="00250B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RuHub</w:t>
      </w:r>
      <w:proofErr w:type="spellEnd"/>
      <w:r w:rsidRPr="00B65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007">
        <w:rPr>
          <w:rFonts w:ascii="Times New Roman" w:hAnsi="Times New Roman" w:cs="Times New Roman"/>
          <w:sz w:val="24"/>
          <w:szCs w:val="24"/>
        </w:rPr>
        <w:t xml:space="preserve">— ключевой производитель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контента для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киберспортивной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аудитории и крупнейшая русскоязычная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киберспортивная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студия в мире. Входит в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киберспортивный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холдинг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ESforce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. </w:t>
      </w:r>
    </w:p>
    <w:p w:rsidR="00CA7BA6" w:rsidRDefault="00CA7BA6" w:rsidP="00250BAD">
      <w:pPr>
        <w:rPr>
          <w:rFonts w:ascii="Times New Roman" w:hAnsi="Times New Roman" w:cs="Times New Roman"/>
          <w:sz w:val="24"/>
          <w:szCs w:val="24"/>
        </w:rPr>
      </w:pPr>
    </w:p>
    <w:p w:rsidR="00250BAD" w:rsidRPr="00B65007" w:rsidRDefault="00250BAD" w:rsidP="00250B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ESforce</w:t>
      </w:r>
      <w:proofErr w:type="spellEnd"/>
      <w:r w:rsidRPr="00B65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5007">
        <w:rPr>
          <w:rFonts w:ascii="Times New Roman" w:hAnsi="Times New Roman" w:cs="Times New Roman"/>
          <w:b/>
          <w:bCs/>
          <w:sz w:val="24"/>
          <w:szCs w:val="24"/>
        </w:rPr>
        <w:t>Holding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— одна из крупнейших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киберспортивных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организаций в мире и лидер российского компьютерного спорта. Холдинговая компания объединяет все ключевые направления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киберспортивного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бизнеса: от организации международных турниров и создания профессионального контента до издательской или рекламной деятельности.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ESforce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владеет более чем 220 популярными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с совокупной аудиторией в 12 млн подписчиков и 114 млн уникальных посетителей в год, которые обеспечивают охват 90% зрителей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киберспортивных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трансляций в России и СНГ, а также покрытие значительной части профильной международной аудитории. В 2018 году холдинг вошел в структуру крупнейшей технологической компании России —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0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650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0BAD" w:rsidRPr="00B65007" w:rsidSect="0055027D">
      <w:headerReference w:type="default" r:id="rId12"/>
      <w:footerReference w:type="default" r:id="rId13"/>
      <w:pgSz w:w="11906" w:h="16838"/>
      <w:pgMar w:top="1134" w:right="850" w:bottom="1134" w:left="170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9" w:rsidRDefault="00AE7E49" w:rsidP="0064632C">
      <w:pPr>
        <w:spacing w:line="240" w:lineRule="auto"/>
      </w:pPr>
      <w:r>
        <w:separator/>
      </w:r>
    </w:p>
  </w:endnote>
  <w:endnote w:type="continuationSeparator" w:id="0">
    <w:p w:rsidR="00AE7E49" w:rsidRDefault="00AE7E49" w:rsidP="00646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2C" w:rsidRDefault="0064632C"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0D1336E8" wp14:editId="352E1010">
          <wp:simplePos x="0" y="0"/>
          <wp:positionH relativeFrom="margin">
            <wp:align>left</wp:align>
          </wp:positionH>
          <wp:positionV relativeFrom="paragraph">
            <wp:posOffset>127000</wp:posOffset>
          </wp:positionV>
          <wp:extent cx="5269865" cy="91440"/>
          <wp:effectExtent l="0" t="0" r="6985" b="381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8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5"/>
      <w:gridCol w:w="3989"/>
      <w:gridCol w:w="30"/>
    </w:tblGrid>
    <w:tr w:rsidR="0064632C" w:rsidRPr="0064632C" w:rsidTr="0064632C">
      <w:trPr>
        <w:trHeight w:val="13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Благотворительный фонд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Юридический адрес: 127006, г. Москва,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1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«Фонд поддержки слепоглухих «Со-единение»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ул. Садовая-Триумфальная, д. 16, стр. 3,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77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+7 495 212 92 09; charity@so-edinenie.org;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пом. 1, комн. 2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85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www.so-edinenie.org</w:t>
          </w:r>
        </w:p>
      </w:tc>
      <w:tc>
        <w:tcPr>
          <w:tcW w:w="3989" w:type="dxa"/>
          <w:vMerge w:val="restart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ИНН 7710481372, КПП 771001001,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39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Merge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27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w w:val="99"/>
              <w:sz w:val="14"/>
              <w:szCs w:val="14"/>
            </w:rPr>
            <w:t>ОГРН 1147799007707, р/с 40703810938000069892,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97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к/с 30101810400000000225, БИК 044525225,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24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6"/>
              <w:szCs w:val="16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ПАО Сбербанк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</w:tbl>
  <w:p w:rsidR="0064632C" w:rsidRDefault="00646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9" w:rsidRDefault="00AE7E49" w:rsidP="0064632C">
      <w:pPr>
        <w:spacing w:line="240" w:lineRule="auto"/>
      </w:pPr>
      <w:r>
        <w:separator/>
      </w:r>
    </w:p>
  </w:footnote>
  <w:footnote w:type="continuationSeparator" w:id="0">
    <w:p w:rsidR="00AE7E49" w:rsidRDefault="00AE7E49" w:rsidP="00646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2C" w:rsidRDefault="0064632C">
    <w:pPr>
      <w:pStyle w:val="a3"/>
    </w:pPr>
    <w:bookmarkStart w:id="1" w:name="page1"/>
    <w:bookmarkEnd w:id="1"/>
    <w:r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0" allowOverlap="1" wp14:anchorId="4131C80A" wp14:editId="2DD40332">
          <wp:simplePos x="0" y="0"/>
          <wp:positionH relativeFrom="margin">
            <wp:posOffset>3230245</wp:posOffset>
          </wp:positionH>
          <wp:positionV relativeFrom="topMargin">
            <wp:posOffset>283840</wp:posOffset>
          </wp:positionV>
          <wp:extent cx="2701722" cy="563825"/>
          <wp:effectExtent l="0" t="0" r="3810" b="825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722" cy="56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32C" w:rsidRDefault="0064632C">
    <w:pPr>
      <w:pStyle w:val="a3"/>
    </w:pPr>
  </w:p>
  <w:p w:rsidR="0064632C" w:rsidRDefault="00646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C"/>
    <w:rsid w:val="00026482"/>
    <w:rsid w:val="0002672A"/>
    <w:rsid w:val="00080BB7"/>
    <w:rsid w:val="0009437A"/>
    <w:rsid w:val="000B158A"/>
    <w:rsid w:val="00125A33"/>
    <w:rsid w:val="001423B0"/>
    <w:rsid w:val="00143EDF"/>
    <w:rsid w:val="0015243F"/>
    <w:rsid w:val="0016716A"/>
    <w:rsid w:val="00173981"/>
    <w:rsid w:val="00192F51"/>
    <w:rsid w:val="00195CD5"/>
    <w:rsid w:val="00245270"/>
    <w:rsid w:val="00250BAD"/>
    <w:rsid w:val="00251741"/>
    <w:rsid w:val="002809EF"/>
    <w:rsid w:val="002D2EA6"/>
    <w:rsid w:val="002E601E"/>
    <w:rsid w:val="002E6FED"/>
    <w:rsid w:val="00316202"/>
    <w:rsid w:val="00323017"/>
    <w:rsid w:val="00325531"/>
    <w:rsid w:val="00362453"/>
    <w:rsid w:val="00370932"/>
    <w:rsid w:val="003D73BA"/>
    <w:rsid w:val="003E53DE"/>
    <w:rsid w:val="003E6EDF"/>
    <w:rsid w:val="00424DC9"/>
    <w:rsid w:val="004A3A1C"/>
    <w:rsid w:val="004D1BE8"/>
    <w:rsid w:val="004E3FA4"/>
    <w:rsid w:val="00504019"/>
    <w:rsid w:val="0055027D"/>
    <w:rsid w:val="0064632C"/>
    <w:rsid w:val="00647373"/>
    <w:rsid w:val="00664CE6"/>
    <w:rsid w:val="00667796"/>
    <w:rsid w:val="0069193A"/>
    <w:rsid w:val="006A7FF0"/>
    <w:rsid w:val="006D5F80"/>
    <w:rsid w:val="00735009"/>
    <w:rsid w:val="00747BE0"/>
    <w:rsid w:val="00755F86"/>
    <w:rsid w:val="0078618E"/>
    <w:rsid w:val="007A3B30"/>
    <w:rsid w:val="007D137B"/>
    <w:rsid w:val="007E66D0"/>
    <w:rsid w:val="00840485"/>
    <w:rsid w:val="00852700"/>
    <w:rsid w:val="0085526B"/>
    <w:rsid w:val="00861B6B"/>
    <w:rsid w:val="00885133"/>
    <w:rsid w:val="008B1B83"/>
    <w:rsid w:val="008C7340"/>
    <w:rsid w:val="009253F6"/>
    <w:rsid w:val="00933BFE"/>
    <w:rsid w:val="0094268D"/>
    <w:rsid w:val="00944254"/>
    <w:rsid w:val="0099658E"/>
    <w:rsid w:val="009A0C60"/>
    <w:rsid w:val="00A2649B"/>
    <w:rsid w:val="00A43B05"/>
    <w:rsid w:val="00A61D5F"/>
    <w:rsid w:val="00A65A1C"/>
    <w:rsid w:val="00AE4C82"/>
    <w:rsid w:val="00AE7E49"/>
    <w:rsid w:val="00B16DBE"/>
    <w:rsid w:val="00B65007"/>
    <w:rsid w:val="00BA2CBD"/>
    <w:rsid w:val="00C52BA8"/>
    <w:rsid w:val="00CA090E"/>
    <w:rsid w:val="00CA7BA6"/>
    <w:rsid w:val="00CC50B8"/>
    <w:rsid w:val="00CF4B6D"/>
    <w:rsid w:val="00D15010"/>
    <w:rsid w:val="00D57C5B"/>
    <w:rsid w:val="00D66137"/>
    <w:rsid w:val="00D858D4"/>
    <w:rsid w:val="00D95BD1"/>
    <w:rsid w:val="00DB287B"/>
    <w:rsid w:val="00DE3395"/>
    <w:rsid w:val="00E42190"/>
    <w:rsid w:val="00F25349"/>
    <w:rsid w:val="00F31C85"/>
    <w:rsid w:val="00F37EC0"/>
    <w:rsid w:val="00F77BCA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1D14"/>
  <w15:chartTrackingRefBased/>
  <w15:docId w15:val="{42212131-F687-48AA-B4EB-815F319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A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2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632C"/>
  </w:style>
  <w:style w:type="paragraph" w:styleId="a5">
    <w:name w:val="footer"/>
    <w:basedOn w:val="a"/>
    <w:link w:val="a6"/>
    <w:uiPriority w:val="99"/>
    <w:unhideWhenUsed/>
    <w:rsid w:val="0064632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632C"/>
  </w:style>
  <w:style w:type="paragraph" w:styleId="a7">
    <w:name w:val="Balloon Text"/>
    <w:basedOn w:val="a"/>
    <w:link w:val="a8"/>
    <w:uiPriority w:val="99"/>
    <w:semiHidden/>
    <w:unhideWhenUsed/>
    <w:rsid w:val="00667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9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E3F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2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dMeAgency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ame.so-edinenie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12288603_46917" TargetMode="External"/><Relationship Id="rId11" Type="http://schemas.openxmlformats.org/officeDocument/2006/relationships/hyperlink" Target="http://xn--c1adblmcthp0aw.xn--p1a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cg.agen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om485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Майорова</dc:creator>
  <cp:keywords/>
  <dc:description/>
  <cp:lastModifiedBy>дана назаренко</cp:lastModifiedBy>
  <cp:revision>21</cp:revision>
  <cp:lastPrinted>2018-03-23T09:13:00Z</cp:lastPrinted>
  <dcterms:created xsi:type="dcterms:W3CDTF">2018-03-23T09:26:00Z</dcterms:created>
  <dcterms:modified xsi:type="dcterms:W3CDTF">2019-11-13T09:22:00Z</dcterms:modified>
</cp:coreProperties>
</file>