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41" w:rsidRDefault="00251741" w:rsidP="00251741">
      <w:pPr>
        <w:rPr>
          <w:b/>
        </w:rPr>
      </w:pPr>
    </w:p>
    <w:p w:rsidR="00251741" w:rsidRPr="00251741" w:rsidRDefault="00251741" w:rsidP="00251741">
      <w:pPr>
        <w:jc w:val="center"/>
        <w:rPr>
          <w:b/>
          <w:sz w:val="24"/>
          <w:szCs w:val="24"/>
        </w:rPr>
      </w:pPr>
      <w:r w:rsidRPr="00251741">
        <w:rPr>
          <w:b/>
          <w:sz w:val="24"/>
          <w:szCs w:val="24"/>
        </w:rPr>
        <w:t>ФОНД «</w:t>
      </w:r>
      <w:proofErr w:type="gramStart"/>
      <w:r w:rsidRPr="00251741">
        <w:rPr>
          <w:b/>
          <w:sz w:val="24"/>
          <w:szCs w:val="24"/>
        </w:rPr>
        <w:t>СО-ЕДИНЕНИЕ</w:t>
      </w:r>
      <w:proofErr w:type="gramEnd"/>
      <w:r w:rsidRPr="00251741">
        <w:rPr>
          <w:b/>
          <w:sz w:val="24"/>
          <w:szCs w:val="24"/>
        </w:rPr>
        <w:t>» ЗАПУСТИЛ ОНЛАЙН-ПРОЕКТ О ЖИЗНИ НА ОЩУПЬ</w:t>
      </w:r>
    </w:p>
    <w:p w:rsidR="00251741" w:rsidRDefault="00251741" w:rsidP="00251741">
      <w:pPr>
        <w:rPr>
          <w:i/>
        </w:rPr>
      </w:pPr>
    </w:p>
    <w:p w:rsidR="00251741" w:rsidRDefault="00251741" w:rsidP="00251741">
      <w:pPr>
        <w:rPr>
          <w:i/>
          <w:sz w:val="20"/>
          <w:szCs w:val="20"/>
        </w:rPr>
      </w:pPr>
      <w:r w:rsidRPr="0015243F">
        <w:rPr>
          <w:i/>
          <w:sz w:val="20"/>
          <w:szCs w:val="20"/>
        </w:rPr>
        <w:t>Интерактивная игра направлена на привлечение внимания широкой ауд</w:t>
      </w:r>
      <w:r w:rsidR="0055027D">
        <w:rPr>
          <w:i/>
          <w:sz w:val="20"/>
          <w:szCs w:val="20"/>
        </w:rPr>
        <w:t>итории к миру слепоглухих людей.</w:t>
      </w:r>
    </w:p>
    <w:p w:rsidR="0055027D" w:rsidRPr="0015243F" w:rsidRDefault="0055027D" w:rsidP="00251741">
      <w:pPr>
        <w:rPr>
          <w:i/>
          <w:sz w:val="20"/>
          <w:szCs w:val="20"/>
        </w:rPr>
      </w:pPr>
    </w:p>
    <w:p w:rsidR="00251741" w:rsidRDefault="00251741" w:rsidP="00251741">
      <w:pPr>
        <w:rPr>
          <w:i/>
          <w:sz w:val="20"/>
          <w:szCs w:val="20"/>
        </w:rPr>
      </w:pPr>
      <w:r w:rsidRPr="0015243F">
        <w:rPr>
          <w:i/>
          <w:noProof/>
          <w:sz w:val="20"/>
          <w:szCs w:val="20"/>
        </w:rPr>
        <w:drawing>
          <wp:inline distT="0" distB="0" distL="0" distR="0">
            <wp:extent cx="5413162" cy="251357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91" cy="251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7D" w:rsidRPr="0015243F" w:rsidRDefault="0055027D" w:rsidP="00251741">
      <w:pPr>
        <w:rPr>
          <w:i/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 xml:space="preserve">Фонд поддержки слепоглухих </w:t>
      </w:r>
      <w:hyperlink r:id="rId7" w:history="1">
        <w:r w:rsidRPr="0015243F">
          <w:rPr>
            <w:rStyle w:val="a9"/>
            <w:sz w:val="20"/>
            <w:szCs w:val="20"/>
          </w:rPr>
          <w:t>«</w:t>
        </w:r>
        <w:proofErr w:type="gramStart"/>
        <w:r w:rsidRPr="0015243F">
          <w:rPr>
            <w:rStyle w:val="a9"/>
            <w:sz w:val="20"/>
            <w:szCs w:val="20"/>
          </w:rPr>
          <w:t>Со-единение</w:t>
        </w:r>
        <w:proofErr w:type="gramEnd"/>
        <w:r w:rsidRPr="0015243F">
          <w:rPr>
            <w:rStyle w:val="a9"/>
            <w:sz w:val="20"/>
            <w:szCs w:val="20"/>
          </w:rPr>
          <w:t>»</w:t>
        </w:r>
      </w:hyperlink>
      <w:r w:rsidRPr="0015243F">
        <w:rPr>
          <w:sz w:val="20"/>
          <w:szCs w:val="20"/>
        </w:rPr>
        <w:t xml:space="preserve"> запустил социальный </w:t>
      </w:r>
      <w:hyperlink r:id="rId8" w:history="1">
        <w:proofErr w:type="spellStart"/>
        <w:r w:rsidRPr="0015243F">
          <w:rPr>
            <w:rStyle w:val="a9"/>
            <w:color w:val="1155CC"/>
            <w:sz w:val="20"/>
            <w:szCs w:val="20"/>
          </w:rPr>
          <w:t>digital</w:t>
        </w:r>
        <w:proofErr w:type="spellEnd"/>
        <w:r w:rsidRPr="0015243F">
          <w:rPr>
            <w:rStyle w:val="a9"/>
            <w:color w:val="1155CC"/>
            <w:sz w:val="20"/>
            <w:szCs w:val="20"/>
          </w:rPr>
          <w:t>-проект</w:t>
        </w:r>
      </w:hyperlink>
      <w:r w:rsidRPr="0015243F">
        <w:rPr>
          <w:sz w:val="20"/>
          <w:szCs w:val="20"/>
        </w:rPr>
        <w:t xml:space="preserve"> о мире слепоглухих. Это первая образовательная онлайн-игра о жизни на ощупь, цель которой — дать возможность каждому понять мировосприятие людей с одновременным нарушением слуха и зрения. Над идеей и реализацией проекта работали агентство социально ориентированного маркетинга </w:t>
      </w:r>
      <w:proofErr w:type="spellStart"/>
      <w:r w:rsidRPr="0015243F">
        <w:rPr>
          <w:sz w:val="20"/>
          <w:szCs w:val="20"/>
        </w:rPr>
        <w:t>RedMe</w:t>
      </w:r>
      <w:proofErr w:type="spellEnd"/>
      <w:r w:rsidRPr="0015243F">
        <w:rPr>
          <w:sz w:val="20"/>
          <w:szCs w:val="20"/>
        </w:rPr>
        <w:t xml:space="preserve"> и агентство </w:t>
      </w:r>
      <w:proofErr w:type="spellStart"/>
      <w:r w:rsidRPr="0015243F">
        <w:rPr>
          <w:sz w:val="20"/>
          <w:szCs w:val="20"/>
        </w:rPr>
        <w:t>миллениальных</w:t>
      </w:r>
      <w:proofErr w:type="spellEnd"/>
      <w:r w:rsidRPr="0015243F">
        <w:rPr>
          <w:sz w:val="20"/>
          <w:szCs w:val="20"/>
        </w:rPr>
        <w:t xml:space="preserve"> </w:t>
      </w:r>
      <w:proofErr w:type="spellStart"/>
      <w:r w:rsidRPr="0015243F">
        <w:rPr>
          <w:sz w:val="20"/>
          <w:szCs w:val="20"/>
        </w:rPr>
        <w:t>коммуникаицй</w:t>
      </w:r>
      <w:proofErr w:type="spellEnd"/>
      <w:r w:rsidRPr="0015243F">
        <w:rPr>
          <w:sz w:val="20"/>
          <w:szCs w:val="20"/>
        </w:rPr>
        <w:t xml:space="preserve"> ROOM485 (входят в группу компаний RCG). Ранее в рамках информационной поддержки проекта фонд запустил </w:t>
      </w:r>
      <w:hyperlink r:id="rId9" w:history="1">
        <w:r w:rsidRPr="0015243F">
          <w:rPr>
            <w:rStyle w:val="a9"/>
            <w:color w:val="1155CC"/>
            <w:sz w:val="20"/>
            <w:szCs w:val="20"/>
          </w:rPr>
          <w:t>ролик</w:t>
        </w:r>
      </w:hyperlink>
      <w:r w:rsidRPr="0015243F">
        <w:rPr>
          <w:sz w:val="20"/>
          <w:szCs w:val="20"/>
        </w:rPr>
        <w:t xml:space="preserve">, анонсирующий выход игры. </w:t>
      </w:r>
    </w:p>
    <w:p w:rsidR="00251741" w:rsidRPr="0015243F" w:rsidRDefault="00251741" w:rsidP="00251741">
      <w:pPr>
        <w:rPr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 xml:space="preserve">В основе интерактивной игры заложена следующая механика: пользователю предлагается угадать предметы через фильтры, которые созданы на основе врачебного описания различных зрительных недугов и заболеваний, при этом «ощущать» их текстуру с помощью </w:t>
      </w:r>
      <w:proofErr w:type="spellStart"/>
      <w:r w:rsidRPr="0015243F">
        <w:rPr>
          <w:sz w:val="20"/>
          <w:szCs w:val="20"/>
        </w:rPr>
        <w:t>аудиоэффектов</w:t>
      </w:r>
      <w:proofErr w:type="spellEnd"/>
      <w:r w:rsidRPr="0015243F">
        <w:rPr>
          <w:sz w:val="20"/>
          <w:szCs w:val="20"/>
        </w:rPr>
        <w:t xml:space="preserve">. </w:t>
      </w:r>
    </w:p>
    <w:p w:rsidR="00251741" w:rsidRPr="0015243F" w:rsidRDefault="00251741" w:rsidP="00251741">
      <w:pPr>
        <w:rPr>
          <w:sz w:val="20"/>
          <w:szCs w:val="20"/>
        </w:rPr>
      </w:pPr>
    </w:p>
    <w:p w:rsidR="0015243F" w:rsidRDefault="00251741" w:rsidP="0015243F">
      <w:pPr>
        <w:rPr>
          <w:sz w:val="20"/>
          <w:szCs w:val="20"/>
        </w:rPr>
      </w:pPr>
      <w:r w:rsidRPr="0015243F">
        <w:rPr>
          <w:sz w:val="20"/>
          <w:szCs w:val="20"/>
        </w:rPr>
        <w:t>Всего игра состоит из пяти уровней с возрастающей сложностью. Для перехода на следующий уровень необходимо ответить на вопрос «Что перед вами?», выбрав один из четырех вариантов. Чем быстрее будут угаданы предметы и меньше допущено ошибок, тем больше баллов можно набрать. В завершение пользователи смогут узнать, как бы они ощущали себя в мире слепоглухих, поделиться ссылкой на игру в социальных сетях, а также совершить пожертвование в Фонд «</w:t>
      </w:r>
      <w:proofErr w:type="gramStart"/>
      <w:r w:rsidRPr="0015243F">
        <w:rPr>
          <w:sz w:val="20"/>
          <w:szCs w:val="20"/>
        </w:rPr>
        <w:t>Со-единение</w:t>
      </w:r>
      <w:proofErr w:type="gramEnd"/>
      <w:r w:rsidRPr="0015243F">
        <w:rPr>
          <w:sz w:val="20"/>
          <w:szCs w:val="20"/>
        </w:rPr>
        <w:t>».</w:t>
      </w:r>
    </w:p>
    <w:p w:rsidR="0015243F" w:rsidRDefault="0015243F" w:rsidP="0015243F">
      <w:pPr>
        <w:rPr>
          <w:sz w:val="20"/>
          <w:szCs w:val="20"/>
        </w:rPr>
      </w:pPr>
    </w:p>
    <w:p w:rsidR="0015243F" w:rsidRPr="0015243F" w:rsidRDefault="0015243F" w:rsidP="0015243F">
      <w:pPr>
        <w:rPr>
          <w:i/>
          <w:sz w:val="20"/>
          <w:szCs w:val="20"/>
        </w:rPr>
      </w:pPr>
      <w:r w:rsidRPr="0015243F">
        <w:rPr>
          <w:i/>
          <w:sz w:val="20"/>
          <w:szCs w:val="20"/>
        </w:rPr>
        <w:t xml:space="preserve">«Совместно с нашими подопечными мы разработали интерактивную игру: нужно угадывать предметы, используя возможности слепоглухого человека, а именно — остаточное зрение и осязание. Мы надеемся, что наш проект станет для пользователей не только интересным времяпрепровождением, но и подарит новые знания о жизни на ощупь. Потому что знания </w:t>
      </w:r>
      <w:proofErr w:type="gramStart"/>
      <w:r w:rsidRPr="0015243F">
        <w:rPr>
          <w:i/>
          <w:sz w:val="20"/>
          <w:szCs w:val="20"/>
        </w:rPr>
        <w:t>—  это</w:t>
      </w:r>
      <w:proofErr w:type="gramEnd"/>
      <w:r w:rsidRPr="0015243F">
        <w:rPr>
          <w:i/>
          <w:sz w:val="20"/>
          <w:szCs w:val="20"/>
        </w:rPr>
        <w:t xml:space="preserve"> именно та сила, которая избавляет нас от стереотипов и предрассудков»,</w:t>
      </w:r>
      <w:r w:rsidRPr="0015243F">
        <w:rPr>
          <w:sz w:val="20"/>
          <w:szCs w:val="20"/>
        </w:rPr>
        <w:t xml:space="preserve"> — говорит директор по PR и </w:t>
      </w:r>
      <w:proofErr w:type="spellStart"/>
      <w:r w:rsidRPr="0015243F">
        <w:rPr>
          <w:sz w:val="20"/>
          <w:szCs w:val="20"/>
        </w:rPr>
        <w:t>фандрайзингу</w:t>
      </w:r>
      <w:proofErr w:type="spellEnd"/>
      <w:r w:rsidRPr="0015243F">
        <w:rPr>
          <w:sz w:val="20"/>
          <w:szCs w:val="20"/>
        </w:rPr>
        <w:t xml:space="preserve"> Фонда «Со-единение» Наталья Соколова. </w:t>
      </w:r>
    </w:p>
    <w:p w:rsidR="00251741" w:rsidRPr="0015243F" w:rsidRDefault="00251741" w:rsidP="00251741">
      <w:pPr>
        <w:rPr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noProof/>
          <w:sz w:val="20"/>
          <w:szCs w:val="20"/>
        </w:rPr>
        <w:lastRenderedPageBreak/>
        <w:drawing>
          <wp:inline distT="0" distB="0" distL="0" distR="0">
            <wp:extent cx="5419005" cy="254747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09" cy="25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41" w:rsidRPr="0015243F" w:rsidRDefault="00251741" w:rsidP="00251741">
      <w:pPr>
        <w:rPr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 xml:space="preserve">В предновогоднем ролике, анонсирующем игру, показана реверсивная хроника событий жизни человека с момента его полной слепоты до момента, когда он в последний раз </w:t>
      </w:r>
      <w:proofErr w:type="gramStart"/>
      <w:r w:rsidRPr="0015243F">
        <w:rPr>
          <w:sz w:val="20"/>
          <w:szCs w:val="20"/>
        </w:rPr>
        <w:t>что-то видел</w:t>
      </w:r>
      <w:proofErr w:type="gramEnd"/>
      <w:r w:rsidRPr="0015243F">
        <w:rPr>
          <w:sz w:val="20"/>
          <w:szCs w:val="20"/>
        </w:rPr>
        <w:t xml:space="preserve"> будучи ребёнком. Ролик был размещён на </w:t>
      </w:r>
      <w:proofErr w:type="spellStart"/>
      <w:r w:rsidRPr="0015243F">
        <w:rPr>
          <w:sz w:val="20"/>
          <w:szCs w:val="20"/>
        </w:rPr>
        <w:t>YouTube</w:t>
      </w:r>
      <w:proofErr w:type="spellEnd"/>
      <w:r w:rsidRPr="0015243F">
        <w:rPr>
          <w:sz w:val="20"/>
          <w:szCs w:val="20"/>
        </w:rPr>
        <w:t xml:space="preserve"> в формате </w:t>
      </w:r>
      <w:proofErr w:type="spellStart"/>
      <w:r w:rsidRPr="0015243F">
        <w:rPr>
          <w:sz w:val="20"/>
          <w:szCs w:val="20"/>
        </w:rPr>
        <w:t>прероллов</w:t>
      </w:r>
      <w:proofErr w:type="spellEnd"/>
      <w:r w:rsidRPr="0015243F">
        <w:rPr>
          <w:sz w:val="20"/>
          <w:szCs w:val="20"/>
        </w:rPr>
        <w:t>, а также в релевантных и в маркетинговых сообществах в социальных сетях.</w:t>
      </w:r>
    </w:p>
    <w:p w:rsidR="00251741" w:rsidRPr="0015243F" w:rsidRDefault="00251741" w:rsidP="00251741">
      <w:pPr>
        <w:rPr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 xml:space="preserve">Ссылка на ролик: </w:t>
      </w:r>
      <w:hyperlink r:id="rId11" w:history="1">
        <w:r w:rsidRPr="0015243F">
          <w:rPr>
            <w:rStyle w:val="a9"/>
            <w:color w:val="1155CC"/>
            <w:sz w:val="20"/>
            <w:szCs w:val="20"/>
          </w:rPr>
          <w:t>https://www.youtube.com/watch?v=Q5XEnLM9UDI</w:t>
        </w:r>
      </w:hyperlink>
      <w:r w:rsidRPr="0015243F">
        <w:rPr>
          <w:sz w:val="20"/>
          <w:szCs w:val="20"/>
        </w:rPr>
        <w:t xml:space="preserve"> </w:t>
      </w:r>
    </w:p>
    <w:p w:rsidR="00251741" w:rsidRPr="0015243F" w:rsidRDefault="00251741" w:rsidP="00251741">
      <w:pPr>
        <w:rPr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 xml:space="preserve">Потеря зрения и слуха у большинства слепоглухих является приобретенной, а не врожденной: они помнят зрительные и слуховые ощущения из прошлого. Говоря о таком комплексном нарушении, речь идёт не столько о медицинских критериях, сколько о функциональных: о том, насколько поражение зрения и слуха влияет на жизнь человека и его способность быть полноценным членом общества. На основе этого </w:t>
      </w:r>
      <w:proofErr w:type="spellStart"/>
      <w:r w:rsidRPr="0015243F">
        <w:rPr>
          <w:sz w:val="20"/>
          <w:szCs w:val="20"/>
        </w:rPr>
        <w:t>инсайта</w:t>
      </w:r>
      <w:proofErr w:type="spellEnd"/>
      <w:r w:rsidRPr="0015243F">
        <w:rPr>
          <w:sz w:val="20"/>
          <w:szCs w:val="20"/>
        </w:rPr>
        <w:t xml:space="preserve"> появилась идея создать проект, и с его помощью рассказать широкой аудитории о том, что слепоглухим не нужно сочувствие, им важно понимание.</w:t>
      </w:r>
    </w:p>
    <w:p w:rsidR="00251741" w:rsidRPr="0015243F" w:rsidRDefault="00251741" w:rsidP="00251741">
      <w:pPr>
        <w:rPr>
          <w:color w:val="FFFFFF"/>
          <w:sz w:val="20"/>
          <w:szCs w:val="20"/>
        </w:rPr>
      </w:pPr>
    </w:p>
    <w:p w:rsidR="00251741" w:rsidRPr="0015243F" w:rsidRDefault="00251741" w:rsidP="00251741">
      <w:pPr>
        <w:rPr>
          <w:sz w:val="20"/>
          <w:szCs w:val="20"/>
        </w:rPr>
      </w:pPr>
      <w:r w:rsidRPr="0015243F">
        <w:rPr>
          <w:sz w:val="20"/>
          <w:szCs w:val="20"/>
        </w:rPr>
        <w:t>В России до 2014 года статистика по количеству слепоглухих людей не велась. С момента начала работы Фонда «</w:t>
      </w:r>
      <w:proofErr w:type="gramStart"/>
      <w:r w:rsidRPr="0015243F">
        <w:rPr>
          <w:sz w:val="20"/>
          <w:szCs w:val="20"/>
        </w:rPr>
        <w:t>Со-единение</w:t>
      </w:r>
      <w:proofErr w:type="gramEnd"/>
      <w:r w:rsidRPr="0015243F">
        <w:rPr>
          <w:sz w:val="20"/>
          <w:szCs w:val="20"/>
        </w:rPr>
        <w:t xml:space="preserve">» была запущена первая Всероссийская перепись людей с одновременным нарушением слуха и зрения. В настоящее время по базе фонда таких людей в России — более 4 000. При этом по существующей практике подсчёта ВОЗ на 10 000 людей приходится 1 слепоглухой человек. </w:t>
      </w:r>
    </w:p>
    <w:p w:rsidR="00251741" w:rsidRDefault="00251741" w:rsidP="00251741"/>
    <w:p w:rsidR="00A43B05" w:rsidRDefault="00A43B05" w:rsidP="00A43B05">
      <w:pPr>
        <w:jc w:val="both"/>
        <w:rPr>
          <w:rFonts w:ascii="Times New Roman" w:eastAsia="Calibri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/>
          <w:color w:val="231F20"/>
          <w:sz w:val="16"/>
          <w:szCs w:val="16"/>
        </w:rPr>
        <w:t xml:space="preserve">За дополнительной информацией обращайтесь к пресс-секретарю фонда поддержки слепоглухих «Со-единение» Дане </w:t>
      </w:r>
      <w:proofErr w:type="gramStart"/>
      <w:r>
        <w:rPr>
          <w:rFonts w:ascii="Times New Roman" w:hAnsi="Times New Roman"/>
          <w:color w:val="231F20"/>
          <w:sz w:val="16"/>
          <w:szCs w:val="16"/>
        </w:rPr>
        <w:t>Назаренко  8</w:t>
      </w:r>
      <w:proofErr w:type="gramEnd"/>
      <w:r>
        <w:rPr>
          <w:rFonts w:ascii="Times New Roman" w:hAnsi="Times New Roman"/>
          <w:color w:val="231F20"/>
          <w:sz w:val="16"/>
          <w:szCs w:val="16"/>
        </w:rPr>
        <w:t xml:space="preserve">(926)919-25-87, </w:t>
      </w:r>
      <w:hyperlink r:id="rId12" w:tgtFrame="_blank" w:history="1">
        <w:r>
          <w:rPr>
            <w:rStyle w:val="a9"/>
            <w:rFonts w:ascii="Times New Roman" w:hAnsi="Times New Roman"/>
            <w:sz w:val="16"/>
            <w:szCs w:val="16"/>
          </w:rPr>
          <w:t>d.nazarenko@so-edinenie.org </w:t>
        </w:r>
      </w:hyperlink>
    </w:p>
    <w:p w:rsidR="00A43B05" w:rsidRDefault="00A43B05" w:rsidP="00A43B05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Фонд поддержки слепоглухих «</w:t>
      </w:r>
      <w:proofErr w:type="gramStart"/>
      <w:r>
        <w:rPr>
          <w:rFonts w:ascii="Times New Roman" w:hAnsi="Times New Roman"/>
          <w:b/>
          <w:sz w:val="18"/>
          <w:szCs w:val="18"/>
        </w:rPr>
        <w:t>Со-единение</w:t>
      </w:r>
      <w:proofErr w:type="gramEnd"/>
      <w:r>
        <w:rPr>
          <w:rFonts w:ascii="Times New Roman" w:hAnsi="Times New Roman"/>
          <w:b/>
          <w:sz w:val="18"/>
          <w:szCs w:val="18"/>
        </w:rPr>
        <w:t>»:</w:t>
      </w:r>
    </w:p>
    <w:p w:rsidR="00A43B05" w:rsidRDefault="00933BFE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Наша цель - </w:t>
      </w:r>
      <w:r w:rsidR="00A43B05">
        <w:rPr>
          <w:rFonts w:ascii="Times New Roman" w:hAnsi="Times New Roman"/>
          <w:sz w:val="18"/>
          <w:szCs w:val="18"/>
        </w:rPr>
        <w:t>системные изменения в области поддержки и социальной интеграции слепоглухих детей и взрослых.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Основные достижения Фонда: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proofErr w:type="gramStart"/>
      <w:r>
        <w:rPr>
          <w:rFonts w:ascii="Times New Roman" w:hAnsi="Times New Roman"/>
          <w:sz w:val="18"/>
          <w:szCs w:val="18"/>
        </w:rPr>
        <w:t>Выявлено &gt;</w:t>
      </w:r>
      <w:proofErr w:type="gramEnd"/>
      <w:r>
        <w:rPr>
          <w:rFonts w:ascii="Times New Roman" w:hAnsi="Times New Roman"/>
          <w:sz w:val="18"/>
          <w:szCs w:val="18"/>
        </w:rPr>
        <w:t xml:space="preserve"> 4 тыс. россиян(из 15 тыс.) с одновременным нарушением слуха и зрения. Сайт переписи </w:t>
      </w:r>
      <w:hyperlink r:id="rId13" w:history="1">
        <w:proofErr w:type="spellStart"/>
        <w:r w:rsidRPr="00933BFE">
          <w:rPr>
            <w:rStyle w:val="a9"/>
            <w:rFonts w:ascii="Times New Roman" w:hAnsi="Times New Roman"/>
            <w:sz w:val="18"/>
            <w:szCs w:val="18"/>
          </w:rPr>
          <w:t>Cлепоглухие.рф</w:t>
        </w:r>
        <w:proofErr w:type="spellEnd"/>
      </w:hyperlink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•Качественный технологический прорыв для России: первая имплантация бионического глаза тотально</w:t>
      </w:r>
      <w:r w:rsidR="00933BFE">
        <w:rPr>
          <w:rFonts w:ascii="Times New Roman" w:hAnsi="Times New Roman"/>
          <w:sz w:val="18"/>
          <w:szCs w:val="18"/>
        </w:rPr>
        <w:t xml:space="preserve"> слепому человеку в 2016 г, что</w:t>
      </w:r>
      <w:r>
        <w:rPr>
          <w:rFonts w:ascii="Times New Roman" w:hAnsi="Times New Roman"/>
          <w:sz w:val="18"/>
          <w:szCs w:val="18"/>
        </w:rPr>
        <w:t xml:space="preserve"> позволило частично вернуть зрение.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proofErr w:type="spellStart"/>
      <w:r>
        <w:rPr>
          <w:rFonts w:ascii="Times New Roman" w:hAnsi="Times New Roman"/>
          <w:sz w:val="18"/>
          <w:szCs w:val="18"/>
        </w:rPr>
        <w:t>Брайлевские</w:t>
      </w:r>
      <w:proofErr w:type="spellEnd"/>
      <w:r>
        <w:rPr>
          <w:rFonts w:ascii="Times New Roman" w:hAnsi="Times New Roman"/>
          <w:sz w:val="18"/>
          <w:szCs w:val="18"/>
        </w:rPr>
        <w:t xml:space="preserve"> дисплеи включены в перечень ТСР, предоставляемых государством.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•Увеличено число часов сопровождения с 40 до 240.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•Работают службы сопровождения в 5 р</w:t>
      </w:r>
      <w:r w:rsidR="00A2649B">
        <w:rPr>
          <w:rFonts w:ascii="Times New Roman" w:hAnsi="Times New Roman"/>
          <w:sz w:val="18"/>
          <w:szCs w:val="18"/>
        </w:rPr>
        <w:t>егионах, досуговые центры - в 39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регионах.,</w:t>
      </w:r>
      <w:proofErr w:type="gramEnd"/>
      <w:r>
        <w:rPr>
          <w:rFonts w:ascii="Times New Roman" w:hAnsi="Times New Roman"/>
          <w:sz w:val="18"/>
          <w:szCs w:val="18"/>
        </w:rPr>
        <w:t xml:space="preserve"> театральные школы – в 5.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•Выход на международный уровень: сотрудничество с </w:t>
      </w:r>
      <w:proofErr w:type="spellStart"/>
      <w:r>
        <w:rPr>
          <w:rFonts w:ascii="Times New Roman" w:hAnsi="Times New Roman"/>
          <w:sz w:val="18"/>
          <w:szCs w:val="18"/>
        </w:rPr>
        <w:t>Sense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International</w:t>
      </w:r>
      <w:proofErr w:type="spellEnd"/>
      <w:r>
        <w:rPr>
          <w:rFonts w:ascii="Times New Roman" w:hAnsi="Times New Roman"/>
          <w:sz w:val="18"/>
          <w:szCs w:val="18"/>
        </w:rPr>
        <w:t xml:space="preserve">, Институт </w:t>
      </w:r>
      <w:proofErr w:type="spellStart"/>
      <w:r>
        <w:rPr>
          <w:rFonts w:ascii="Times New Roman" w:hAnsi="Times New Roman"/>
          <w:sz w:val="18"/>
          <w:szCs w:val="18"/>
        </w:rPr>
        <w:t>Перкинса</w:t>
      </w:r>
      <w:proofErr w:type="spellEnd"/>
      <w:r>
        <w:rPr>
          <w:rFonts w:ascii="Times New Roman" w:hAnsi="Times New Roman"/>
          <w:sz w:val="18"/>
          <w:szCs w:val="18"/>
        </w:rPr>
        <w:t>, DBI.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•Разработка методики сопровождаемого проживания слепоглухих взрослых.</w:t>
      </w:r>
    </w:p>
    <w:p w:rsidR="00A43B05" w:rsidRDefault="00A43B05" w:rsidP="00A43B0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•Учреждена Ассоциация "</w:t>
      </w:r>
      <w:proofErr w:type="gramStart"/>
      <w:r>
        <w:rPr>
          <w:rFonts w:ascii="Times New Roman" w:hAnsi="Times New Roman"/>
          <w:sz w:val="18"/>
          <w:szCs w:val="18"/>
        </w:rPr>
        <w:t>Со-</w:t>
      </w:r>
      <w:proofErr w:type="spellStart"/>
      <w:r>
        <w:rPr>
          <w:rFonts w:ascii="Times New Roman" w:hAnsi="Times New Roman"/>
          <w:sz w:val="18"/>
          <w:szCs w:val="18"/>
        </w:rPr>
        <w:t>гласие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". Это беспрецедентное событие в России - организация для инвалидов по слуху и зрению, </w:t>
      </w:r>
      <w:proofErr w:type="gramStart"/>
      <w:r>
        <w:rPr>
          <w:rFonts w:ascii="Times New Roman" w:hAnsi="Times New Roman"/>
          <w:sz w:val="18"/>
          <w:szCs w:val="18"/>
        </w:rPr>
        <w:t>которая  объединяет</w:t>
      </w:r>
      <w:proofErr w:type="gramEnd"/>
      <w:r>
        <w:rPr>
          <w:rFonts w:ascii="Times New Roman" w:hAnsi="Times New Roman"/>
          <w:sz w:val="18"/>
          <w:szCs w:val="18"/>
        </w:rPr>
        <w:t xml:space="preserve"> не только самих слепоглухих, но и их родственников.</w:t>
      </w:r>
    </w:p>
    <w:p w:rsidR="00E2330F" w:rsidRPr="004E3FA4" w:rsidRDefault="00323017" w:rsidP="004E3FA4"/>
    <w:sectPr w:rsidR="00E2330F" w:rsidRPr="004E3FA4" w:rsidSect="0055027D">
      <w:headerReference w:type="default" r:id="rId14"/>
      <w:footerReference w:type="default" r:id="rId15"/>
      <w:pgSz w:w="11906" w:h="16838"/>
      <w:pgMar w:top="1134" w:right="850" w:bottom="1134" w:left="170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7" w:rsidRDefault="00323017" w:rsidP="0064632C">
      <w:pPr>
        <w:spacing w:line="240" w:lineRule="auto"/>
      </w:pPr>
      <w:r>
        <w:separator/>
      </w:r>
    </w:p>
  </w:endnote>
  <w:endnote w:type="continuationSeparator" w:id="0">
    <w:p w:rsidR="00323017" w:rsidRDefault="00323017" w:rsidP="00646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C" w:rsidRDefault="0064632C"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0D1336E8" wp14:editId="352E1010">
          <wp:simplePos x="0" y="0"/>
          <wp:positionH relativeFrom="margin">
            <wp:align>left</wp:align>
          </wp:positionH>
          <wp:positionV relativeFrom="paragraph">
            <wp:posOffset>127000</wp:posOffset>
          </wp:positionV>
          <wp:extent cx="5269865" cy="91440"/>
          <wp:effectExtent l="0" t="0" r="6985" b="381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8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5"/>
      <w:gridCol w:w="3989"/>
      <w:gridCol w:w="30"/>
    </w:tblGrid>
    <w:tr w:rsidR="0064632C" w:rsidRPr="0064632C" w:rsidTr="0064632C">
      <w:trPr>
        <w:trHeight w:val="13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Благотворительный фонд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Юридический адрес: 127006, г. Москва,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1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«Фонд поддержки слепоглухих «Со-единение»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ул. Садовая-Триумфальная, д. 16, стр. 3,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77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+7 495 212 92 09; charity@so-edinenie.org;</w:t>
          </w: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пом. 1, комн. 2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85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www.so-edinenie.org</w:t>
          </w:r>
        </w:p>
      </w:tc>
      <w:tc>
        <w:tcPr>
          <w:tcW w:w="3989" w:type="dxa"/>
          <w:vMerge w:val="restart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ИНН 7710481372, КПП 771001001,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39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Merge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270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w w:val="99"/>
              <w:sz w:val="14"/>
              <w:szCs w:val="14"/>
            </w:rPr>
            <w:t>ОГРН 1147799007707, р/с 40703810938000069892,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97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5"/>
              <w:szCs w:val="15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к/с 30101810400000000225, БИК 044525225,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  <w:tr w:rsidR="0064632C" w:rsidRPr="0064632C" w:rsidTr="0064632C">
      <w:trPr>
        <w:trHeight w:val="124"/>
      </w:trPr>
      <w:tc>
        <w:tcPr>
          <w:tcW w:w="3745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6"/>
              <w:szCs w:val="16"/>
            </w:rPr>
          </w:pPr>
        </w:p>
      </w:tc>
      <w:tc>
        <w:tcPr>
          <w:tcW w:w="3989" w:type="dxa"/>
          <w:vAlign w:val="bottom"/>
        </w:tcPr>
        <w:p w:rsidR="0064632C" w:rsidRPr="0064632C" w:rsidRDefault="0064632C" w:rsidP="0064632C">
          <w:pPr>
            <w:spacing w:line="240" w:lineRule="auto"/>
            <w:ind w:left="940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4632C">
            <w:rPr>
              <w:color w:val="666666"/>
              <w:sz w:val="14"/>
              <w:szCs w:val="14"/>
            </w:rPr>
            <w:t>ПАО Сбербанк</w:t>
          </w:r>
        </w:p>
      </w:tc>
      <w:tc>
        <w:tcPr>
          <w:tcW w:w="30" w:type="dxa"/>
          <w:vAlign w:val="bottom"/>
        </w:tcPr>
        <w:p w:rsidR="0064632C" w:rsidRPr="0064632C" w:rsidRDefault="0064632C" w:rsidP="0064632C">
          <w:pPr>
            <w:spacing w:line="240" w:lineRule="auto"/>
            <w:rPr>
              <w:rFonts w:ascii="Times New Roman" w:eastAsiaTheme="minorEastAsia" w:hAnsi="Times New Roman" w:cs="Times New Roman"/>
              <w:sz w:val="1"/>
              <w:szCs w:val="1"/>
            </w:rPr>
          </w:pPr>
        </w:p>
      </w:tc>
    </w:tr>
  </w:tbl>
  <w:p w:rsidR="0064632C" w:rsidRDefault="00646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7" w:rsidRDefault="00323017" w:rsidP="0064632C">
      <w:pPr>
        <w:spacing w:line="240" w:lineRule="auto"/>
      </w:pPr>
      <w:r>
        <w:separator/>
      </w:r>
    </w:p>
  </w:footnote>
  <w:footnote w:type="continuationSeparator" w:id="0">
    <w:p w:rsidR="00323017" w:rsidRDefault="00323017" w:rsidP="00646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2C" w:rsidRDefault="0064632C">
    <w:pPr>
      <w:pStyle w:val="a3"/>
    </w:pPr>
    <w:bookmarkStart w:id="1" w:name="page1"/>
    <w:bookmarkEnd w:id="1"/>
    <w:r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0" allowOverlap="1" wp14:anchorId="4131C80A" wp14:editId="2DD40332">
          <wp:simplePos x="0" y="0"/>
          <wp:positionH relativeFrom="margin">
            <wp:posOffset>3230245</wp:posOffset>
          </wp:positionH>
          <wp:positionV relativeFrom="topMargin">
            <wp:posOffset>283840</wp:posOffset>
          </wp:positionV>
          <wp:extent cx="2701722" cy="563825"/>
          <wp:effectExtent l="0" t="0" r="3810" b="825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722" cy="56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32C" w:rsidRDefault="0064632C">
    <w:pPr>
      <w:pStyle w:val="a3"/>
    </w:pPr>
  </w:p>
  <w:p w:rsidR="0064632C" w:rsidRDefault="00646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C"/>
    <w:rsid w:val="00026482"/>
    <w:rsid w:val="00080BB7"/>
    <w:rsid w:val="0009437A"/>
    <w:rsid w:val="000B158A"/>
    <w:rsid w:val="00125A33"/>
    <w:rsid w:val="001423B0"/>
    <w:rsid w:val="00143EDF"/>
    <w:rsid w:val="0015243F"/>
    <w:rsid w:val="00173981"/>
    <w:rsid w:val="00192F51"/>
    <w:rsid w:val="00195CD5"/>
    <w:rsid w:val="00245270"/>
    <w:rsid w:val="00251741"/>
    <w:rsid w:val="002D2EA6"/>
    <w:rsid w:val="002E601E"/>
    <w:rsid w:val="002E6FED"/>
    <w:rsid w:val="00316202"/>
    <w:rsid w:val="00323017"/>
    <w:rsid w:val="00325531"/>
    <w:rsid w:val="00362453"/>
    <w:rsid w:val="00370932"/>
    <w:rsid w:val="003D73BA"/>
    <w:rsid w:val="003E53DE"/>
    <w:rsid w:val="003E6EDF"/>
    <w:rsid w:val="00424DC9"/>
    <w:rsid w:val="004A3A1C"/>
    <w:rsid w:val="004D1BE8"/>
    <w:rsid w:val="004E3FA4"/>
    <w:rsid w:val="00504019"/>
    <w:rsid w:val="0055027D"/>
    <w:rsid w:val="0064632C"/>
    <w:rsid w:val="00647373"/>
    <w:rsid w:val="00664CE6"/>
    <w:rsid w:val="00667796"/>
    <w:rsid w:val="0069193A"/>
    <w:rsid w:val="006A7FF0"/>
    <w:rsid w:val="006D5F80"/>
    <w:rsid w:val="00735009"/>
    <w:rsid w:val="00747BE0"/>
    <w:rsid w:val="00755F86"/>
    <w:rsid w:val="0078618E"/>
    <w:rsid w:val="007A3B30"/>
    <w:rsid w:val="007D137B"/>
    <w:rsid w:val="007E66D0"/>
    <w:rsid w:val="00840485"/>
    <w:rsid w:val="00852700"/>
    <w:rsid w:val="00861B6B"/>
    <w:rsid w:val="00885133"/>
    <w:rsid w:val="008B1B83"/>
    <w:rsid w:val="008C7340"/>
    <w:rsid w:val="009253F6"/>
    <w:rsid w:val="00933BFE"/>
    <w:rsid w:val="0094268D"/>
    <w:rsid w:val="00944254"/>
    <w:rsid w:val="0099658E"/>
    <w:rsid w:val="009A0C60"/>
    <w:rsid w:val="00A2649B"/>
    <w:rsid w:val="00A43B05"/>
    <w:rsid w:val="00A61D5F"/>
    <w:rsid w:val="00A65A1C"/>
    <w:rsid w:val="00AE4C82"/>
    <w:rsid w:val="00BA2CBD"/>
    <w:rsid w:val="00C52BA8"/>
    <w:rsid w:val="00CA090E"/>
    <w:rsid w:val="00CC50B8"/>
    <w:rsid w:val="00D15010"/>
    <w:rsid w:val="00D66137"/>
    <w:rsid w:val="00D858D4"/>
    <w:rsid w:val="00D95BD1"/>
    <w:rsid w:val="00DB287B"/>
    <w:rsid w:val="00DE3395"/>
    <w:rsid w:val="00E42190"/>
    <w:rsid w:val="00F25349"/>
    <w:rsid w:val="00F31C85"/>
    <w:rsid w:val="00F37EC0"/>
    <w:rsid w:val="00F77BCA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12131-F687-48AA-B4EB-815F319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A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2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632C"/>
  </w:style>
  <w:style w:type="paragraph" w:styleId="a5">
    <w:name w:val="footer"/>
    <w:basedOn w:val="a"/>
    <w:link w:val="a6"/>
    <w:uiPriority w:val="99"/>
    <w:unhideWhenUsed/>
    <w:rsid w:val="0064632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632C"/>
  </w:style>
  <w:style w:type="paragraph" w:styleId="a7">
    <w:name w:val="Balloon Text"/>
    <w:basedOn w:val="a"/>
    <w:link w:val="a8"/>
    <w:uiPriority w:val="99"/>
    <w:semiHidden/>
    <w:unhideWhenUsed/>
    <w:rsid w:val="00667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9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E3F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2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.so-edinenie.org/" TargetMode="External"/><Relationship Id="rId13" Type="http://schemas.openxmlformats.org/officeDocument/2006/relationships/hyperlink" Target="http://xn--c1adblmcthp0aw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-edinenie.org/" TargetMode="External"/><Relationship Id="rId12" Type="http://schemas.openxmlformats.org/officeDocument/2006/relationships/hyperlink" Target="mailto:d.nazarenko@so-edinenie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5XEnLM9UD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5XEnLM9UD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Майорова</dc:creator>
  <cp:keywords/>
  <dc:description/>
  <cp:lastModifiedBy>Назаренко Дана</cp:lastModifiedBy>
  <cp:revision>11</cp:revision>
  <cp:lastPrinted>2018-03-23T09:13:00Z</cp:lastPrinted>
  <dcterms:created xsi:type="dcterms:W3CDTF">2018-03-23T09:26:00Z</dcterms:created>
  <dcterms:modified xsi:type="dcterms:W3CDTF">2019-02-11T11:02:00Z</dcterms:modified>
</cp:coreProperties>
</file>